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65A38CC4"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EA6BA9" w:rsidRPr="00EA6BA9">
        <w:rPr>
          <w:rFonts w:asciiTheme="majorHAnsi" w:hAnsiTheme="majorHAnsi"/>
          <w:b/>
          <w:bCs/>
          <w:iCs/>
          <w:color w:val="0070C0"/>
          <w:sz w:val="28"/>
          <w:szCs w:val="28"/>
        </w:rPr>
        <w:t>CCC-PEEX-2020-0005</w:t>
      </w:r>
    </w:p>
    <w:p w14:paraId="14D0D179" w14:textId="3D89DF16"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0A1AE5">
        <w:rPr>
          <w:rStyle w:val="nfasis"/>
          <w:rFonts w:asciiTheme="majorHAnsi" w:hAnsiTheme="majorHAnsi"/>
          <w:b/>
          <w:i w:val="0"/>
          <w:color w:val="0070C0"/>
          <w:sz w:val="24"/>
          <w:szCs w:val="24"/>
        </w:rPr>
        <w:t>de Medicamentos varios.</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r>
        <w:rPr>
          <w:rStyle w:val="nfasis"/>
          <w:rFonts w:asciiTheme="majorHAnsi" w:hAnsiTheme="majorHAnsi"/>
          <w:b/>
          <w:i w:val="0"/>
          <w:color w:val="0070C0"/>
          <w:sz w:val="24"/>
          <w:szCs w:val="24"/>
        </w:rPr>
        <w:t>Marzo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25657C6C" w:rsidR="00403AC1" w:rsidRPr="009D63AF" w:rsidRDefault="00B6721A" w:rsidP="00044281">
      <w:pPr>
        <w:jc w:val="both"/>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EA6BA9" w:rsidRPr="00EA6BA9">
        <w:rPr>
          <w:rFonts w:ascii="Century Gothic" w:hAnsi="Century Gothic"/>
          <w:b/>
          <w:bCs/>
          <w:iCs/>
        </w:rPr>
        <w:t>CCC-PEEX-2020-0005</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044281">
      <w:pPr>
        <w:ind w:firstLine="720"/>
        <w:jc w:val="both"/>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0" w:name="_Hlk32833728"/>
    </w:p>
    <w:bookmarkEnd w:id="0"/>
    <w:p w14:paraId="733F6358" w14:textId="6882E5BF" w:rsidR="006D19C1" w:rsidRPr="000A1AE5" w:rsidRDefault="000A1AE5" w:rsidP="00361598">
      <w:pPr>
        <w:spacing w:after="0"/>
        <w:jc w:val="both"/>
        <w:rPr>
          <w:rFonts w:ascii="Arial" w:hAnsi="Arial" w:cs="Arial"/>
          <w:b/>
          <w:bCs/>
          <w:sz w:val="24"/>
          <w:szCs w:val="24"/>
        </w:rPr>
      </w:pPr>
      <w:r w:rsidRPr="000A1AE5">
        <w:rPr>
          <w:rFonts w:ascii="Arial" w:hAnsi="Arial" w:cs="Arial"/>
          <w:b/>
          <w:bCs/>
          <w:sz w:val="24"/>
          <w:szCs w:val="24"/>
        </w:rPr>
        <w:t>Anexas.</w:t>
      </w:r>
    </w:p>
    <w:p w14:paraId="65F0BECC" w14:textId="77777777" w:rsidR="000A1AE5" w:rsidRDefault="000A1AE5" w:rsidP="00361598">
      <w:pPr>
        <w:spacing w:after="0"/>
        <w:jc w:val="both"/>
        <w:rPr>
          <w:rFonts w:ascii="Arial" w:hAnsi="Arial" w:cs="Arial"/>
          <w:sz w:val="24"/>
          <w:szCs w:val="24"/>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lastRenderedPageBreak/>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lastRenderedPageBreak/>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w:t>
      </w:r>
      <w:r w:rsidRPr="00610F90">
        <w:rPr>
          <w:rFonts w:ascii="Century Gothic" w:hAnsi="Century Gothic" w:cs="Arial"/>
        </w:rPr>
        <w:lastRenderedPageBreak/>
        <w:t xml:space="preserve">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4783D7D"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EA6BA9" w:rsidRPr="00EA6BA9">
        <w:rPr>
          <w:rFonts w:ascii="Century Gothic" w:hAnsi="Century Gothic" w:cs="Arial"/>
          <w:b/>
          <w:bCs/>
          <w:sz w:val="22"/>
          <w:szCs w:val="22"/>
        </w:rPr>
        <w:t>CCC-PEEX-2020-0005</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 xml:space="preserve">La Unidad Operativa de Compras y Contrataciones para dar respuestas a tales consultas, deberá emitir circulares aclaratorias.  Dichas circulares deberán ser emitidas solo con las preguntas y las respuestas, sin identificar quien consultó, en un plazo no más </w:t>
      </w:r>
      <w:r w:rsidRPr="00610F90">
        <w:rPr>
          <w:rFonts w:ascii="Century Gothic" w:hAnsi="Century Gothic" w:cs="Arial"/>
        </w:rPr>
        <w:lastRenderedPageBreak/>
        <w:t>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lastRenderedPageBreak/>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3F447D0F"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EA6BA9" w:rsidRPr="00EA6BA9">
        <w:rPr>
          <w:rFonts w:ascii="Century Gothic" w:hAnsi="Century Gothic" w:cs="Arial"/>
          <w:b/>
          <w:bCs/>
          <w:color w:val="002060"/>
          <w:sz w:val="22"/>
          <w:szCs w:val="22"/>
        </w:rPr>
        <w:t>CCC-PEEX-2020-0005</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77777777"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69334EDD" w:rsidR="00176186" w:rsidRPr="00610F90" w:rsidRDefault="00361598" w:rsidP="00F44A1F">
      <w:pPr>
        <w:pStyle w:val="Textoindependiente"/>
        <w:ind w:left="720" w:firstLine="720"/>
        <w:rPr>
          <w:rFonts w:ascii="Century Gothic" w:hAnsi="Century Gothic" w:cs="Arial"/>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EA6BA9" w:rsidRPr="00EA6BA9">
        <w:rPr>
          <w:rFonts w:ascii="Century Gothic" w:hAnsi="Century Gothic" w:cs="Arial"/>
          <w:b/>
          <w:bCs/>
          <w:color w:val="002060"/>
          <w:sz w:val="22"/>
          <w:szCs w:val="22"/>
        </w:rPr>
        <w:t>CCC-PEEX-2020-0005</w:t>
      </w:r>
      <w:r w:rsidRPr="00610F90">
        <w:rPr>
          <w:rFonts w:ascii="Century Gothic" w:hAnsi="Century Gothic" w:cs="Arial"/>
          <w:b/>
          <w:color w:val="002060"/>
          <w:sz w:val="22"/>
          <w:szCs w:val="22"/>
          <w:lang w:val="es-ES_tradnl"/>
        </w:rPr>
        <w:t xml:space="preserve"> </w:t>
      </w: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lastRenderedPageBreak/>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13F5941B" w14:textId="77777777" w:rsidR="00845107" w:rsidRDefault="00845107" w:rsidP="00845107">
      <w:pPr>
        <w:spacing w:after="0" w:line="240" w:lineRule="auto"/>
        <w:jc w:val="both"/>
        <w:rPr>
          <w:rFonts w:ascii="Century Gothic" w:hAnsi="Century Gothic" w:cs="Arial"/>
        </w:rPr>
      </w:pPr>
    </w:p>
    <w:p w14:paraId="4F3F9618" w14:textId="77777777" w:rsidR="00845107" w:rsidRDefault="00845107" w:rsidP="00845107">
      <w:pPr>
        <w:pStyle w:val="Ttulo3"/>
        <w:numPr>
          <w:ilvl w:val="0"/>
          <w:numId w:val="8"/>
        </w:numPr>
      </w:pPr>
      <w:r>
        <w:t>Criterios de Evaluación</w:t>
      </w:r>
    </w:p>
    <w:p w14:paraId="556DE719" w14:textId="77777777" w:rsidR="00845107" w:rsidRDefault="00845107" w:rsidP="00845107">
      <w:pPr>
        <w:rPr>
          <w:rFonts w:ascii="Century Gothic" w:hAnsi="Century Gothic"/>
          <w:lang w:val="es-ES"/>
        </w:rPr>
      </w:pPr>
    </w:p>
    <w:p w14:paraId="744787F7" w14:textId="77777777" w:rsidR="00845107" w:rsidRDefault="00845107" w:rsidP="00845107">
      <w:pPr>
        <w:pStyle w:val="Prrafodelista"/>
        <w:numPr>
          <w:ilvl w:val="0"/>
          <w:numId w:val="8"/>
        </w:numPr>
        <w:jc w:val="both"/>
        <w:rPr>
          <w:rFonts w:ascii="Century Gothic" w:hAnsi="Century Gothic" w:cs="Arial"/>
          <w:b/>
          <w:bCs/>
        </w:rPr>
      </w:pPr>
      <w:r>
        <w:rPr>
          <w:rFonts w:ascii="Century Gothic" w:hAnsi="Century Gothic" w:cs="Arial"/>
        </w:rPr>
        <w:t xml:space="preserve">Las Propuestas deberán contener la documentación necesaria, suficiente y fehaciente para demostrar los siguientes aspectos que serán verificados bajo la modalidad </w:t>
      </w:r>
      <w:r>
        <w:rPr>
          <w:rFonts w:ascii="Century Gothic" w:hAnsi="Century Gothic" w:cs="Arial"/>
          <w:b/>
          <w:bCs/>
        </w:rPr>
        <w:t>“CUMPLE/ NO CUMPLE”:</w:t>
      </w:r>
    </w:p>
    <w:p w14:paraId="7737FF6B" w14:textId="77777777" w:rsidR="00845107" w:rsidRDefault="00845107" w:rsidP="00845107">
      <w:pPr>
        <w:pStyle w:val="Prrafodelista"/>
        <w:numPr>
          <w:ilvl w:val="0"/>
          <w:numId w:val="8"/>
        </w:numPr>
        <w:jc w:val="both"/>
        <w:rPr>
          <w:rFonts w:ascii="Century Gothic" w:hAnsi="Century Gothic" w:cs="Arial"/>
          <w:b/>
          <w:bCs/>
        </w:rPr>
      </w:pPr>
      <w:r>
        <w:rPr>
          <w:rFonts w:ascii="Century Gothic" w:hAnsi="Century Gothic" w:cs="Arial"/>
          <w:b/>
          <w:bCs/>
        </w:rPr>
        <w:t>Elegibilidad</w:t>
      </w:r>
      <w:r>
        <w:rPr>
          <w:rFonts w:ascii="Century Gothic" w:hAnsi="Century Gothic" w:cs="Arial"/>
        </w:rPr>
        <w:t>: Que el Proponente está legalmente autorizado para realizar sus actividades comerciales en el país.</w:t>
      </w:r>
    </w:p>
    <w:p w14:paraId="3A4EB344" w14:textId="77777777" w:rsidR="00845107" w:rsidRDefault="00845107" w:rsidP="00845107">
      <w:pPr>
        <w:jc w:val="both"/>
        <w:rPr>
          <w:rFonts w:ascii="Century Gothic" w:hAnsi="Century Gothic" w:cs="Arial"/>
          <w:b/>
          <w:bCs/>
        </w:rPr>
      </w:pPr>
    </w:p>
    <w:p w14:paraId="78401A3B" w14:textId="77777777" w:rsidR="00845107" w:rsidRDefault="00845107" w:rsidP="00845107">
      <w:pPr>
        <w:pStyle w:val="Prrafodelista"/>
        <w:numPr>
          <w:ilvl w:val="0"/>
          <w:numId w:val="8"/>
        </w:numPr>
        <w:jc w:val="both"/>
        <w:rPr>
          <w:rFonts w:ascii="Century Gothic" w:hAnsi="Century Gothic" w:cs="Arial"/>
        </w:rPr>
      </w:pPr>
      <w:r>
        <w:rPr>
          <w:rFonts w:ascii="Century Gothic" w:hAnsi="Century Gothic" w:cs="Arial"/>
          <w:b/>
          <w:bCs/>
        </w:rPr>
        <w:lastRenderedPageBreak/>
        <w:t>Capacidad Técnica</w:t>
      </w:r>
      <w:r>
        <w:rPr>
          <w:rFonts w:ascii="Century Gothic" w:hAnsi="Century Gothic" w:cs="Arial"/>
        </w:rPr>
        <w:t xml:space="preserve">: Que los Bienes cumplan con las todas características especificadas en las Fichas Técnicas. </w:t>
      </w:r>
    </w:p>
    <w:p w14:paraId="4E3B442A" w14:textId="77777777" w:rsidR="00845107" w:rsidRDefault="00845107" w:rsidP="00845107">
      <w:pPr>
        <w:pStyle w:val="Ttulo3"/>
        <w:numPr>
          <w:ilvl w:val="0"/>
          <w:numId w:val="8"/>
        </w:numPr>
      </w:pPr>
      <w:bookmarkStart w:id="35" w:name="_Toc410128617"/>
      <w:bookmarkStart w:id="36" w:name="_Toc271530533"/>
      <w:r>
        <w:t>3.5 Fase de Homologación</w:t>
      </w:r>
      <w:bookmarkEnd w:id="35"/>
      <w:bookmarkEnd w:id="36"/>
    </w:p>
    <w:p w14:paraId="52B2ED7A" w14:textId="77777777" w:rsidR="00845107" w:rsidRDefault="00845107" w:rsidP="00845107">
      <w:pPr>
        <w:pStyle w:val="Prrafodelista"/>
        <w:ind w:left="1190"/>
        <w:rPr>
          <w:rFonts w:ascii="Century Gothic" w:hAnsi="Century Gothic"/>
          <w:lang w:val="es-ES"/>
        </w:rPr>
      </w:pPr>
    </w:p>
    <w:p w14:paraId="354D4294" w14:textId="77777777" w:rsidR="00845107" w:rsidRDefault="00845107" w:rsidP="00845107">
      <w:pPr>
        <w:pStyle w:val="Prrafodelista"/>
        <w:numPr>
          <w:ilvl w:val="0"/>
          <w:numId w:val="8"/>
        </w:numPr>
        <w:jc w:val="both"/>
        <w:rPr>
          <w:rFonts w:ascii="Century Gothic" w:hAnsi="Century Gothic" w:cs="Arial"/>
          <w:b/>
          <w:bCs/>
          <w:color w:val="000000" w:themeColor="text1"/>
        </w:rPr>
      </w:pPr>
      <w:r>
        <w:rPr>
          <w:rFonts w:ascii="Century Gothic" w:hAnsi="Century Gothic" w:cs="Arial"/>
          <w:color w:val="000000" w:themeColor="text1"/>
        </w:rPr>
        <w:t xml:space="preserve">Una vez concluida la recepción de los </w:t>
      </w:r>
      <w:r>
        <w:rPr>
          <w:rFonts w:ascii="Century Gothic" w:hAnsi="Century Gothic" w:cs="Arial"/>
          <w:b/>
          <w:color w:val="000000" w:themeColor="text1"/>
        </w:rPr>
        <w:t>“Sobres A”,</w:t>
      </w:r>
      <w:r>
        <w:rPr>
          <w:rFonts w:ascii="Century Gothic" w:hAnsi="Century Gothic" w:cs="Arial"/>
          <w:color w:val="000000" w:themeColor="text1"/>
        </w:rPr>
        <w:t xml:space="preserve"> se procederá a la valoración de las muestras, si aplica, de acuerdo con las especificaciones requeridas en las Fichas Técnicas y a la ponderación de la documentación solicitada al efecto, bajo la modalidad </w:t>
      </w:r>
      <w:r>
        <w:rPr>
          <w:rFonts w:ascii="Century Gothic" w:hAnsi="Century Gothic" w:cs="Arial"/>
          <w:b/>
          <w:bCs/>
          <w:color w:val="000000" w:themeColor="text1"/>
        </w:rPr>
        <w:t>“CUMPLE/ NO CUMPLE”.</w:t>
      </w:r>
    </w:p>
    <w:p w14:paraId="6FFFF8C3" w14:textId="77777777" w:rsidR="00845107" w:rsidRDefault="00845107" w:rsidP="00845107">
      <w:pPr>
        <w:pStyle w:val="Prrafodelista"/>
        <w:ind w:left="1190"/>
        <w:jc w:val="both"/>
        <w:rPr>
          <w:rFonts w:ascii="Century Gothic" w:hAnsi="Century Gothic" w:cs="Arial"/>
        </w:rPr>
      </w:pPr>
    </w:p>
    <w:p w14:paraId="49F7383E" w14:textId="77777777" w:rsidR="00845107" w:rsidRDefault="00845107" w:rsidP="00845107">
      <w:pPr>
        <w:pStyle w:val="Prrafodelista"/>
        <w:numPr>
          <w:ilvl w:val="0"/>
          <w:numId w:val="8"/>
        </w:numPr>
        <w:jc w:val="both"/>
        <w:rPr>
          <w:rFonts w:ascii="Century Gothic" w:hAnsi="Century Gothic" w:cs="Arial"/>
        </w:rPr>
      </w:pPr>
      <w:r>
        <w:rPr>
          <w:rFonts w:ascii="Century Gothic" w:hAnsi="Century Gothic" w:cs="Arial"/>
        </w:rPr>
        <w:t xml:space="preserve">Para que un Bien pueda ser considerado </w:t>
      </w:r>
      <w:r>
        <w:rPr>
          <w:rFonts w:ascii="Century Gothic" w:hAnsi="Century Gothic" w:cs="Arial"/>
          <w:b/>
        </w:rPr>
        <w:t>CONFORME</w:t>
      </w:r>
      <w:r>
        <w:rPr>
          <w:rFonts w:ascii="Century Gothic" w:hAnsi="Century Gothic" w:cs="Arial"/>
        </w:rPr>
        <w:t xml:space="preserve">, deberá cumplir con todas y cada una de las características contenidas en las referidas Fichas Técnicas. Es decir que, el no cumplimiento en una de las especificaciones implica la descalificación de la Oferta y la declaración de </w:t>
      </w:r>
      <w:r>
        <w:rPr>
          <w:rFonts w:ascii="Century Gothic" w:hAnsi="Century Gothic" w:cs="Arial"/>
          <w:b/>
        </w:rPr>
        <w:t>NO CONFORME</w:t>
      </w:r>
      <w:r>
        <w:rPr>
          <w:rFonts w:ascii="Century Gothic" w:hAnsi="Century Gothic" w:cs="Arial"/>
        </w:rPr>
        <w:t xml:space="preserve"> del Bien ofertado.</w:t>
      </w:r>
    </w:p>
    <w:p w14:paraId="2C356F7A" w14:textId="77777777" w:rsidR="00845107" w:rsidRDefault="00845107" w:rsidP="00845107">
      <w:pPr>
        <w:pStyle w:val="Prrafodelista"/>
        <w:ind w:left="1190"/>
        <w:jc w:val="both"/>
        <w:rPr>
          <w:rFonts w:ascii="Century Gothic" w:hAnsi="Century Gothic" w:cs="Arial"/>
        </w:rPr>
      </w:pPr>
    </w:p>
    <w:p w14:paraId="190263B4" w14:textId="77777777" w:rsidR="00845107" w:rsidRDefault="00845107" w:rsidP="00845107">
      <w:pPr>
        <w:pStyle w:val="Prrafodelista"/>
        <w:numPr>
          <w:ilvl w:val="0"/>
          <w:numId w:val="8"/>
        </w:numPr>
        <w:jc w:val="both"/>
        <w:rPr>
          <w:rFonts w:ascii="Century Gothic" w:hAnsi="Century Gothic" w:cs="Arial"/>
        </w:rPr>
      </w:pPr>
      <w:r>
        <w:rPr>
          <w:rFonts w:ascii="Century Gothic" w:hAnsi="Century Gothic" w:cs="Arial"/>
        </w:rPr>
        <w:t xml:space="preserve">Los Peritos levantarán un informe donde se indicará el cumplimiento o no de las Especificaciones Técnicas de cada uno de los Bienes ofertados, bajo el criterio de </w:t>
      </w:r>
      <w:r>
        <w:rPr>
          <w:rFonts w:ascii="Century Gothic" w:hAnsi="Century Gothic" w:cs="Arial"/>
          <w:b/>
        </w:rPr>
        <w:t>CONFORME/ NO CONFORME</w:t>
      </w:r>
      <w:r>
        <w:rPr>
          <w:rFonts w:ascii="Century Gothic" w:hAnsi="Century Gothic" w:cs="Arial"/>
        </w:rPr>
        <w:t xml:space="preserve">. En el caso de no cumplimiento indicará, de forma individualizada las razones.  </w:t>
      </w:r>
    </w:p>
    <w:p w14:paraId="0BB7B5B4" w14:textId="77777777" w:rsidR="00845107" w:rsidRDefault="00845107" w:rsidP="00845107">
      <w:pPr>
        <w:pStyle w:val="Prrafodelista"/>
        <w:ind w:left="1190"/>
        <w:jc w:val="both"/>
        <w:rPr>
          <w:rFonts w:ascii="Century Gothic" w:hAnsi="Century Gothic" w:cs="Arial"/>
        </w:rPr>
      </w:pPr>
    </w:p>
    <w:p w14:paraId="21C26E8B" w14:textId="77777777" w:rsidR="00845107" w:rsidRDefault="00845107" w:rsidP="00845107">
      <w:pPr>
        <w:pStyle w:val="Prrafodelista"/>
        <w:numPr>
          <w:ilvl w:val="0"/>
          <w:numId w:val="8"/>
        </w:numPr>
        <w:jc w:val="both"/>
        <w:rPr>
          <w:rFonts w:ascii="Century Gothic" w:hAnsi="Century Gothic" w:cs="Arial"/>
        </w:rPr>
      </w:pPr>
      <w:r>
        <w:rPr>
          <w:rFonts w:ascii="Century Gothic" w:hAnsi="Century Gothic" w:cs="Arial"/>
        </w:rPr>
        <w:t>Los Peritos emitirán su informe al Comité de Compras y Contrataciones sobre los resultados de la evaluación de las Propuestas Técnicas “Sobre A”, a los fines de la recomendación final.</w:t>
      </w:r>
    </w:p>
    <w:p w14:paraId="3F58432E" w14:textId="77777777" w:rsidR="00F44A1F" w:rsidRPr="00610F90" w:rsidRDefault="00F44A1F" w:rsidP="00845107">
      <w:pPr>
        <w:spacing w:after="0" w:line="240" w:lineRule="auto"/>
        <w:jc w:val="both"/>
        <w:rPr>
          <w:rFonts w:ascii="Century Gothic" w:hAnsi="Century Gothic" w:cs="Arial"/>
        </w:rPr>
      </w:pPr>
    </w:p>
    <w:p w14:paraId="38160EE2" w14:textId="77777777" w:rsidR="00361598" w:rsidRPr="00610F90" w:rsidRDefault="00361598" w:rsidP="009006C5">
      <w:pPr>
        <w:pStyle w:val="Ttulo3"/>
      </w:pPr>
      <w:bookmarkStart w:id="37" w:name="_Toc379797408"/>
      <w:r w:rsidRPr="00610F90">
        <w:t xml:space="preserve"> Presentación de la Documentación Contenida en </w:t>
      </w:r>
      <w:r w:rsidR="00F44A1F" w:rsidRPr="00610F90">
        <w:t>el “</w:t>
      </w:r>
      <w:r w:rsidRPr="00610F90">
        <w:t>Sobre B”</w:t>
      </w:r>
      <w:bookmarkEnd w:id="34"/>
      <w:bookmarkEnd w:id="37"/>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8"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8"/>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5B308D35"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EA6BA9" w:rsidRPr="00EA6BA9">
        <w:rPr>
          <w:rFonts w:ascii="Century Gothic" w:hAnsi="Century Gothic" w:cs="Arial"/>
          <w:b/>
          <w:bCs/>
          <w:color w:val="auto"/>
          <w:sz w:val="22"/>
          <w:szCs w:val="22"/>
        </w:rPr>
        <w:t>CCC-PEEX-2020-0005</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9"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40" w:name="_Toc379797428"/>
    </w:p>
    <w:p w14:paraId="678E1BC0" w14:textId="65E231FC"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044281" w:rsidRPr="00E22677">
        <w:rPr>
          <w:rFonts w:asciiTheme="majorHAnsi" w:hAnsiTheme="majorHAnsi" w:cs="Arial"/>
          <w:b/>
          <w:color w:val="FF0000"/>
        </w:rPr>
        <w:t>proceso</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044281">
        <w:rPr>
          <w:rFonts w:asciiTheme="majorHAnsi" w:hAnsiTheme="majorHAnsi" w:cs="Arial"/>
          <w:b/>
          <w:color w:val="FF0000"/>
        </w:rPr>
        <w:t>martes 26</w:t>
      </w:r>
      <w:r w:rsidRPr="00E22677">
        <w:rPr>
          <w:rFonts w:asciiTheme="majorHAnsi" w:hAnsiTheme="majorHAnsi" w:cs="Arial"/>
          <w:b/>
          <w:color w:val="FF0000"/>
        </w:rPr>
        <w:t>/</w:t>
      </w:r>
      <w:r w:rsidR="00C842F0">
        <w:rPr>
          <w:rFonts w:asciiTheme="majorHAnsi" w:hAnsiTheme="majorHAnsi" w:cs="Arial"/>
          <w:b/>
          <w:color w:val="FF0000"/>
        </w:rPr>
        <w:t>0</w:t>
      </w:r>
      <w:r w:rsidR="00FD75B8">
        <w:rPr>
          <w:rFonts w:asciiTheme="majorHAnsi" w:hAnsiTheme="majorHAnsi" w:cs="Arial"/>
          <w:b/>
          <w:color w:val="FF0000"/>
        </w:rPr>
        <w:t>5</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w:t>
      </w:r>
      <w:r w:rsidRPr="00E22677">
        <w:rPr>
          <w:rFonts w:asciiTheme="majorHAnsi" w:hAnsiTheme="majorHAnsi" w:cs="Arial"/>
          <w:b/>
          <w:color w:val="FF0000"/>
        </w:rPr>
        <w:lastRenderedPageBreak/>
        <w:t xml:space="preserve">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9"/>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41" w:name="_Toc271530544"/>
      <w:bookmarkEnd w:id="40"/>
    </w:p>
    <w:p w14:paraId="5614D572" w14:textId="77777777" w:rsidR="00361598" w:rsidRPr="00610F90" w:rsidRDefault="00361598" w:rsidP="009006C5">
      <w:pPr>
        <w:pStyle w:val="Ttulo3"/>
        <w:ind w:left="0" w:firstLine="0"/>
      </w:pPr>
      <w:bookmarkStart w:id="42" w:name="_Toc379797432"/>
      <w:r w:rsidRPr="00610F90">
        <w:t>Validez del Contrato</w:t>
      </w:r>
      <w:bookmarkEnd w:id="41"/>
      <w:bookmarkEnd w:id="42"/>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3" w:name="_Toc379797433"/>
      <w:bookmarkStart w:id="44" w:name="_Toc287030194"/>
      <w:r w:rsidRPr="00610F90">
        <w:t>Garantía de Fiel Cumplimiento de Contrato</w:t>
      </w:r>
      <w:bookmarkEnd w:id="43"/>
      <w:bookmarkEnd w:id="44"/>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5" w:name="_Toc379797434"/>
      <w:bookmarkStart w:id="46"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5"/>
      <w:bookmarkEnd w:id="46"/>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7" w:name="_Toc212620790"/>
      <w:bookmarkStart w:id="48"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9" w:name="_Toc379797435"/>
      <w:r w:rsidRPr="00610F90">
        <w:t xml:space="preserve">  Plazo para la Suscripción del Contrato</w:t>
      </w:r>
      <w:bookmarkEnd w:id="49"/>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50" w:name="_Toc271530547"/>
      <w:bookmarkEnd w:id="47"/>
      <w:bookmarkEnd w:id="48"/>
      <w:r w:rsidR="00361598" w:rsidRPr="00610F90">
        <w:rPr>
          <w:rFonts w:ascii="Century Gothic" w:hAnsi="Century Gothic" w:cs="Arial"/>
        </w:rPr>
        <w:t>.</w:t>
      </w:r>
    </w:p>
    <w:p w14:paraId="76B1ECB6" w14:textId="77777777" w:rsidR="00FD75B8" w:rsidRPr="00610F90" w:rsidRDefault="00FD75B8" w:rsidP="00361598">
      <w:pPr>
        <w:jc w:val="both"/>
        <w:rPr>
          <w:rFonts w:ascii="Century Gothic" w:hAnsi="Century Gothic" w:cs="Arial"/>
        </w:rPr>
      </w:pPr>
    </w:p>
    <w:p w14:paraId="08130C17" w14:textId="77777777" w:rsidR="00361598" w:rsidRPr="00610F90" w:rsidRDefault="00361598" w:rsidP="009006C5">
      <w:pPr>
        <w:pStyle w:val="Ttulo3"/>
      </w:pPr>
      <w:bookmarkStart w:id="51" w:name="_Toc379797436"/>
      <w:bookmarkStart w:id="52" w:name="_Toc271530548"/>
      <w:bookmarkEnd w:id="50"/>
      <w:r w:rsidRPr="00610F90">
        <w:lastRenderedPageBreak/>
        <w:t xml:space="preserve">   Incumplimiento del Contrato</w:t>
      </w:r>
      <w:bookmarkEnd w:id="51"/>
      <w:bookmarkEnd w:id="52"/>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3"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4" w:name="_Toc379797437"/>
      <w:bookmarkStart w:id="55" w:name="_Toc287030195"/>
    </w:p>
    <w:p w14:paraId="12278294" w14:textId="77777777" w:rsidR="00361598" w:rsidRPr="00610F90" w:rsidRDefault="00361598" w:rsidP="009006C5">
      <w:pPr>
        <w:pStyle w:val="Ttulo3"/>
        <w:numPr>
          <w:ilvl w:val="0"/>
          <w:numId w:val="25"/>
        </w:numPr>
      </w:pPr>
      <w:r w:rsidRPr="00610F90">
        <w:t>Efectos del Incumplimiento</w:t>
      </w:r>
      <w:bookmarkEnd w:id="54"/>
      <w:bookmarkEnd w:id="55"/>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6" w:name="_Toc379797438"/>
      <w:r w:rsidRPr="00610F90">
        <w:t xml:space="preserve"> Ampliación o Reducción de la Contratación</w:t>
      </w:r>
      <w:bookmarkEnd w:id="56"/>
    </w:p>
    <w:bookmarkEnd w:id="53"/>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7" w:name="_Toc379797439"/>
      <w:bookmarkStart w:id="58" w:name="_Toc271530551"/>
      <w:r w:rsidRPr="00610F90">
        <w:t>Finalización del Contrato</w:t>
      </w:r>
      <w:bookmarkEnd w:id="57"/>
      <w:bookmarkEnd w:id="58"/>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lastRenderedPageBreak/>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44281"/>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D5DE0"/>
    <w:rsid w:val="005F0FAF"/>
    <w:rsid w:val="00600E80"/>
    <w:rsid w:val="00610F90"/>
    <w:rsid w:val="00632CAF"/>
    <w:rsid w:val="00633B45"/>
    <w:rsid w:val="006C71B5"/>
    <w:rsid w:val="006D19C1"/>
    <w:rsid w:val="007009AD"/>
    <w:rsid w:val="00712A89"/>
    <w:rsid w:val="00720B7A"/>
    <w:rsid w:val="0075130E"/>
    <w:rsid w:val="007519E3"/>
    <w:rsid w:val="00775492"/>
    <w:rsid w:val="00782F75"/>
    <w:rsid w:val="00792968"/>
    <w:rsid w:val="00794215"/>
    <w:rsid w:val="007C1923"/>
    <w:rsid w:val="007C2D42"/>
    <w:rsid w:val="007D77A5"/>
    <w:rsid w:val="00802A96"/>
    <w:rsid w:val="00845107"/>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B6226"/>
    <w:rsid w:val="00AF512B"/>
    <w:rsid w:val="00B17F4E"/>
    <w:rsid w:val="00B2160B"/>
    <w:rsid w:val="00B51023"/>
    <w:rsid w:val="00B6721A"/>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22677"/>
    <w:rsid w:val="00E678C5"/>
    <w:rsid w:val="00E80C9F"/>
    <w:rsid w:val="00EA0478"/>
    <w:rsid w:val="00EA6BA9"/>
    <w:rsid w:val="00F1359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38301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F0359-D9A6-49C8-A154-8990689F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3306</Words>
  <Characters>18184</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7</cp:revision>
  <cp:lastPrinted>2020-05-19T13:02:00Z</cp:lastPrinted>
  <dcterms:created xsi:type="dcterms:W3CDTF">2020-04-23T13:26:00Z</dcterms:created>
  <dcterms:modified xsi:type="dcterms:W3CDTF">2020-05-19T13:32:00Z</dcterms:modified>
</cp:coreProperties>
</file>